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6"/>
        <w:jc w:val="both"/>
        <w:spacing w:before="120" w:after="120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24"/>
        <w:tblW w:w="9952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558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</w:p>
        </w:tc>
        <w:tc>
          <w:tcPr>
            <w:shd w:val="clear" w:color="auto" w:fill="auto"/>
            <w:tcW w:w="5558" w:type="dxa"/>
            <w:textDirection w:val="lrTb"/>
            <w:noWrap w:val="false"/>
          </w:tcPr>
          <w:p>
            <w:pPr>
              <w:contextualSpacing w:val="0"/>
              <w:ind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ОКПД2 22.11.11 Поставка шин и камер для легковых  и грузовых автомобилей и спецтранспорта для структурных подразделений АО "ДГК"в Амурской области, Еврейской автономной области, Республики САХА-Якутия, Приморского края, Хабаровского  края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42016067-ЭКСП ПРОД-2026-ДГК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Calibri"/>
                <w:color w:val="auto"/>
                <w:sz w:val="22"/>
                <w:szCs w:val="22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</w:rPr>
              <w:t xml:space="preserve">10 303 635,12 </w:t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руб. без учета НДС</w:t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shd w:val="clear" w:color="auto" w:fill="ffff99"/>
              </w:rPr>
            </w:r>
          </w:p>
        </w:tc>
      </w:tr>
    </w:tbl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color w:val="auto"/>
          <w:sz w:val="26"/>
          <w:szCs w:val="26"/>
        </w:rPr>
      </w:pPr>
      <w:r>
        <w:rPr>
          <w:rFonts w:ascii="Times New Roman" w:hAnsi="Times New Roman" w:eastAsia="Calibri"/>
          <w:b/>
          <w:color w:val="auto"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color w:val="auto"/>
          <w:sz w:val="26"/>
          <w:szCs w:val="26"/>
        </w:rPr>
      </w:r>
      <w:r>
        <w:rPr>
          <w:rFonts w:ascii="Times New Roman" w:hAnsi="Times New Roman" w:eastAsia="Calibri"/>
          <w:b/>
          <w:color w:val="auto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color w:val="auto"/>
          <w:sz w:val="26"/>
          <w:szCs w:val="26"/>
        </w:rPr>
      </w:pPr>
      <w:r>
        <w:rPr>
          <w:rFonts w:ascii="Times New Roman" w:hAnsi="Times New Roman" w:eastAsia="Calibri"/>
          <w:color w:val="auto"/>
          <w:sz w:val="26"/>
          <w:szCs w:val="26"/>
        </w:rPr>
      </w:r>
      <w:r>
        <w:rPr>
          <w:rFonts w:ascii="Times New Roman" w:hAnsi="Times New Roman" w:eastAsia="Calibri"/>
          <w:color w:val="auto"/>
          <w:sz w:val="26"/>
          <w:szCs w:val="26"/>
        </w:rPr>
      </w:r>
      <w:r>
        <w:rPr>
          <w:rFonts w:ascii="Times New Roman" w:hAnsi="Times New Roman" w:eastAsia="Calibri"/>
          <w:color w:val="auto"/>
          <w:sz w:val="26"/>
          <w:szCs w:val="26"/>
        </w:rPr>
      </w:r>
    </w:p>
    <w:p>
      <w:pPr>
        <w:jc w:val="left"/>
        <w:spacing w:after="120"/>
        <w:rPr>
          <w:rFonts w:ascii="Times New Roman" w:hAnsi="Times New Roman" w:eastAsia="Calibri"/>
          <w:color w:val="auto"/>
          <w:sz w:val="26"/>
          <w:szCs w:val="26"/>
        </w:rPr>
      </w:pPr>
      <w:r>
        <w:rPr>
          <w:rFonts w:hint="cs" w:ascii="Times New Roman" w:hAnsi="Times New Roman" w:eastAsia="Calibri"/>
          <w:color w:val="auto"/>
          <w:sz w:val="26"/>
          <w:szCs w:val="26"/>
        </w:rPr>
        <w:t xml:space="preserve">Метод</w:t>
      </w:r>
      <w:r>
        <w:rPr>
          <w:rFonts w:ascii="Times New Roman" w:hAnsi="Times New Roman" w:eastAsia="Calibri"/>
          <w:color w:val="auto"/>
          <w:sz w:val="26"/>
          <w:szCs w:val="26"/>
        </w:rPr>
        <w:t xml:space="preserve"> нормирования затрат</w:t>
      </w:r>
      <w:r>
        <w:rPr>
          <w:rFonts w:ascii="Times New Roman" w:hAnsi="Times New Roman" w:eastAsia="Calibri"/>
          <w:color w:val="auto"/>
          <w:sz w:val="26"/>
          <w:szCs w:val="26"/>
        </w:rPr>
        <w:br/>
      </w:r>
      <w:r>
        <w:rPr>
          <w:rFonts w:ascii="Times New Roman" w:hAnsi="Times New Roman" w:eastAsia="Calibri"/>
          <w:color w:val="auto"/>
          <w:sz w:val="26"/>
          <w:szCs w:val="26"/>
        </w:rPr>
        <w:t xml:space="preserve">Обоснование расчета НМЦ:</w:t>
      </w:r>
      <w:bookmarkStart w:id="0" w:name="_GoBack"/>
      <w:r>
        <w:rPr>
          <w:color w:val="auto"/>
        </w:rPr>
      </w:r>
      <w:bookmarkEnd w:id="0"/>
      <w:r>
        <w:rPr>
          <w:rFonts w:ascii="Times New Roman" w:hAnsi="Times New Roman" w:eastAsia="Calibri"/>
          <w:color w:val="auto"/>
          <w:sz w:val="26"/>
          <w:szCs w:val="26"/>
        </w:rPr>
      </w:r>
      <w:r>
        <w:rPr>
          <w:rFonts w:ascii="Times New Roman" w:hAnsi="Times New Roman" w:eastAsia="Calibri"/>
          <w:color w:val="auto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color w:val="0070c0"/>
          <w:sz w:val="26"/>
          <w:szCs w:val="26"/>
        </w:rPr>
      </w:pPr>
      <w:r>
        <w:rPr>
          <w:rFonts w:ascii="Times New Roman" w:hAnsi="Times New Roman" w:eastAsia="Calibri"/>
          <w:color w:val="0070c0"/>
          <w:sz w:val="26"/>
          <w:szCs w:val="26"/>
        </w:rPr>
      </w:r>
      <w:r>
        <w:rPr>
          <w:rFonts w:ascii="Times New Roman" w:hAnsi="Times New Roman" w:eastAsia="Calibri"/>
          <w:color w:val="0070c0"/>
          <w:sz w:val="26"/>
          <w:szCs w:val="26"/>
        </w:rPr>
      </w:r>
      <w:r>
        <w:rPr>
          <w:rFonts w:ascii="Times New Roman" w:hAnsi="Times New Roman" w:eastAsia="Calibri"/>
          <w:color w:val="0070c0"/>
          <w:sz w:val="26"/>
          <w:szCs w:val="26"/>
        </w:rPr>
      </w:r>
    </w:p>
    <w:tbl>
      <w:tblPr>
        <w:tblW w:w="995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302"/>
        <w:gridCol w:w="1984"/>
        <w:gridCol w:w="1559"/>
        <w:gridCol w:w="1701"/>
        <w:gridCol w:w="2409"/>
      </w:tblGrid>
      <w:tr>
        <w:tblPrEx/>
        <w:trPr>
          <w:trHeight w:val="70"/>
        </w:trPr>
        <w:tc>
          <w:tcPr>
            <w:shd w:val="clear" w:color="000000" w:fill="e7e6e6"/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</w:p>
        </w:tc>
        <w:tc>
          <w:tcPr>
            <w:shd w:val="clear" w:color="000000" w:fill="e7e6e6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</w:p>
        </w:tc>
        <w:tc>
          <w:tcPr>
            <w:shd w:val="clear" w:color="000000" w:fill="e7e6e6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pPr>
            <w:r>
              <w:rPr>
                <w:rFonts w:hint="cs"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Цена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 </w:t>
            </w:r>
            <w:r>
              <w:rPr>
                <w:rFonts w:hint="cs"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за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 </w:t>
            </w:r>
            <w:r>
              <w:rPr>
                <w:rFonts w:hint="cs"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единицу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, </w:t>
            </w:r>
            <w:r>
              <w:rPr>
                <w:rFonts w:hint="cs"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 </w:t>
            </w:r>
            <w:r>
              <w:rPr>
                <w:rFonts w:hint="cs"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руб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. </w:t>
            </w:r>
            <w:r>
              <w:rPr>
                <w:rFonts w:hint="cs"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без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 </w:t>
            </w:r>
            <w:r>
              <w:rPr>
                <w:rFonts w:hint="cs"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НДС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</w:p>
        </w:tc>
        <w:tc>
          <w:tcPr>
            <w:shd w:val="clear" w:color="000000" w:fill="e7e6e6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Цена итоговая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</w:p>
        </w:tc>
        <w:tc>
          <w:tcPr>
            <w:shd w:val="clear" w:color="000000" w:fill="e7e6e6"/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  <w:lang w:eastAsia="ru-RU"/>
              </w:rPr>
              <w:t xml:space="preserve">Комментарии </w:t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auto"/>
                <w:sz w:val="20"/>
              </w:rPr>
            </w:r>
          </w:p>
        </w:tc>
      </w:tr>
      <w:tr>
        <w:tblPrEx/>
        <w:trPr>
          <w:trHeight w:val="4334"/>
        </w:trPr>
        <w:tc>
          <w:tcPr>
            <w:tcW w:w="2302" w:type="dxa"/>
            <w:vMerge w:val="restart"/>
            <w:textDirection w:val="lrTb"/>
            <w:noWrap w:val="false"/>
          </w:tcPr>
          <w:p>
            <w:pPr>
              <w:contextualSpacing w:val="0"/>
              <w:ind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ОКПД2 22.11.11 Поставка шин и камер для легковых  и грузовых автомобилей и спецтранспорта для структурных подразделений АО "ДГК"в Амурской области, Еврейской автономной области, Республики САХА-Якутия, Приморского края, Хабаровского  края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r/>
            <w:r/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Программный комплекс «Ресурсная карта»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r>
              <w:rPr>
                <w:rFonts w:ascii="Times New Roman" w:hAnsi="Times New Roman"/>
                <w:szCs w:val="24"/>
              </w:rPr>
              <w:t xml:space="preserve">Утвержден приказом АО «ДГК» № 746  от   09.12.2022 г.</w:t>
            </w:r>
            <w:r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r>
            <w:r/>
          </w:p>
        </w:tc>
        <w:tc>
          <w:tcPr>
            <w:shd w:val="clear" w:color="auto" w:fill="auto"/>
            <w:tcW w:w="1559" w:type="dxa"/>
            <w:vAlign w:val="top"/>
            <w:vMerge w:val="restart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rFonts w:ascii="Times New Roman" w:hAnsi="Times New Roman" w:eastAsia="Times New Roman"/>
                <w:bCs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bCs/>
                <w:i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Cs/>
                <w:i/>
                <w:color w:val="auto"/>
                <w:sz w:val="20"/>
                <w:szCs w:val="20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color w:val="auto"/>
                <w:sz w:val="22"/>
                <w:szCs w:val="22"/>
              </w:rPr>
              <w:t xml:space="preserve">10 303 635,12</w:t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color w:val="auto"/>
                <w:sz w:val="22"/>
                <w:szCs w:val="22"/>
                <w:highlight w:val="none"/>
                <w:shd w:val="clear" w:color="auto" w:fill="ffff99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</w:p>
          <w:p>
            <w:pPr>
              <w:spacing w:before="0" w:beforeAutospacing="0" w:after="0" w:afterAutospacing="0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10 303 635,12</w:t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2409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hAnsi="Times New Roman" w:eastAsia="Calibri"/>
              </w:rPr>
            </w:pPr>
            <w:r/>
            <w:commentRangeStart w:id="0"/>
            <w:r>
              <w:rPr>
                <w:rFonts w:hAnsi="Times New Roman" w:eastAsia="Calibri"/>
                <w:szCs w:val="24"/>
              </w:rPr>
              <w:t xml:space="preserve">Метод</w:t>
            </w:r>
            <w:r>
              <w:rPr>
                <w:rFonts w:hAnsi="Times New Roman" w:eastAsia="Calibri"/>
                <w:szCs w:val="24"/>
              </w:rPr>
              <w:t xml:space="preserve"> </w:t>
            </w:r>
            <w:r>
              <w:rPr>
                <w:rFonts w:hAnsi="Times New Roman" w:eastAsia="Calibri"/>
                <w:szCs w:val="24"/>
              </w:rPr>
              <w:t xml:space="preserve">нормирования</w:t>
            </w:r>
            <w:r>
              <w:rPr>
                <w:rFonts w:hAnsi="Times New Roman" w:eastAsia="Calibri"/>
                <w:szCs w:val="24"/>
              </w:rPr>
              <w:t xml:space="preserve"> </w:t>
            </w:r>
            <w:r>
              <w:rPr>
                <w:rFonts w:hAnsi="Times New Roman" w:eastAsia="Calibri"/>
                <w:szCs w:val="24"/>
              </w:rPr>
              <w:t xml:space="preserve">затрат</w:t>
            </w:r>
            <w:r>
              <w:rPr>
                <w:rFonts w:hAnsi="Times New Roman" w:eastAsia="Calibri"/>
              </w:rPr>
            </w:r>
            <w:r>
              <w:rPr>
                <w:rFonts w:hAnsi="Times New Roman" w:eastAsia="Calibri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Программный комплекс «Ресурсная карта»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Утвержден приказом АО «ДГК» № 746  от </w:t>
            </w:r>
            <w:r>
              <w:rPr>
                <w:rFonts w:ascii="Times New Roman" w:hAnsi="Times New Roman"/>
                <w:szCs w:val="24"/>
              </w:rPr>
              <w:t xml:space="preserve">09.12.2022г.</w:t>
            </w:r>
            <w:commentRangeEnd w:id="0"/>
            <w:r>
              <w:commentReference w:id="0"/>
            </w:r>
            <w:r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color w:val="0070c0"/>
          <w:sz w:val="26"/>
          <w:szCs w:val="26"/>
        </w:rPr>
      </w:pPr>
      <w:r>
        <w:rPr>
          <w:rFonts w:ascii="Times New Roman" w:hAnsi="Times New Roman" w:eastAsia="Calibri"/>
          <w:color w:val="0070c0"/>
          <w:sz w:val="26"/>
          <w:szCs w:val="26"/>
        </w:rPr>
      </w:r>
      <w:r>
        <w:rPr>
          <w:rFonts w:ascii="Times New Roman" w:hAnsi="Times New Roman" w:eastAsia="Calibri"/>
          <w:color w:val="0070c0"/>
          <w:sz w:val="26"/>
          <w:szCs w:val="26"/>
        </w:rPr>
      </w:r>
      <w:r>
        <w:rPr>
          <w:rFonts w:ascii="Times New Roman" w:hAnsi="Times New Roman" w:eastAsia="Calibri"/>
          <w:color w:val="0070c0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color w:val="0070c0"/>
          <w:sz w:val="26"/>
          <w:szCs w:val="26"/>
        </w:rPr>
      </w:pPr>
      <w:r>
        <w:rPr>
          <w:rFonts w:ascii="Times New Roman" w:hAnsi="Times New Roman" w:eastAsia="Calibri"/>
          <w:color w:val="0070c0"/>
          <w:sz w:val="26"/>
          <w:szCs w:val="26"/>
        </w:rPr>
      </w:r>
      <w:r>
        <w:rPr>
          <w:rFonts w:ascii="Times New Roman" w:hAnsi="Times New Roman" w:eastAsia="Calibri"/>
          <w:color w:val="0070c0"/>
          <w:sz w:val="26"/>
          <w:szCs w:val="26"/>
        </w:rPr>
      </w:r>
      <w:r>
        <w:rPr>
          <w:rFonts w:ascii="Times New Roman" w:hAnsi="Times New Roman" w:eastAsia="Calibri"/>
          <w:color w:val="0070c0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color w:val="000000" w:themeColor="text1"/>
          <w:sz w:val="26"/>
          <w:szCs w:val="26"/>
        </w:rPr>
      </w:pPr>
      <w:r>
        <w:rPr>
          <w:rFonts w:ascii="Times New Roman" w:hAnsi="Times New Roman" w:eastAsia="Calibri"/>
          <w:color w:val="000000" w:themeColor="text1"/>
          <w:sz w:val="26"/>
          <w:szCs w:val="26"/>
        </w:rPr>
      </w:r>
      <w:r>
        <w:rPr>
          <w:rFonts w:ascii="Times New Roman" w:hAnsi="Times New Roman" w:eastAsia="Calibri"/>
          <w:color w:val="000000" w:themeColor="text1"/>
          <w:sz w:val="26"/>
          <w:szCs w:val="26"/>
        </w:rPr>
      </w:r>
      <w:r>
        <w:rPr>
          <w:rFonts w:ascii="Times New Roman" w:hAnsi="Times New Roman" w:eastAsia="Calibri"/>
          <w:color w:val="000000" w:themeColor="text1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color w:val="0070c0"/>
          <w:sz w:val="26"/>
          <w:szCs w:val="26"/>
        </w:rPr>
      </w:pPr>
      <w:r>
        <w:rPr>
          <w:rFonts w:ascii="Times New Roman" w:hAnsi="Times New Roman" w:eastAsia="Calibri"/>
          <w:color w:val="0070c0"/>
          <w:sz w:val="26"/>
          <w:szCs w:val="26"/>
        </w:rPr>
      </w:r>
      <w:r>
        <w:rPr>
          <w:rFonts w:ascii="Times New Roman" w:hAnsi="Times New Roman" w:eastAsia="Calibri"/>
          <w:color w:val="0070c0"/>
          <w:sz w:val="26"/>
          <w:szCs w:val="26"/>
        </w:rPr>
      </w:r>
      <w:r>
        <w:rPr>
          <w:rFonts w:ascii="Times New Roman" w:hAnsi="Times New Roman" w:eastAsia="Calibri"/>
          <w:color w:val="0070c0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0"/>
        </w:rPr>
      </w:pPr>
      <w:r>
        <w:rPr>
          <w:rFonts w:ascii="Times New Roman" w:hAnsi="Times New Roman" w:eastAsia="Calibri"/>
          <w:sz w:val="20"/>
        </w:rPr>
      </w:r>
      <w:r>
        <w:rPr>
          <w:rFonts w:ascii="Times New Roman" w:hAnsi="Times New Roman" w:eastAsia="Calibri"/>
          <w:sz w:val="20"/>
        </w:rPr>
      </w:r>
      <w:r>
        <w:rPr>
          <w:rFonts w:ascii="Times New Roman" w:hAnsi="Times New Roman" w:eastAsia="Calibri"/>
          <w:sz w:val="20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тепень Константин Маркович" w:date="2025-09-15T09:46:00Z" w:initials="СКМ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случае принятия решения о проведении закупки с одним источником необходимо представить распорядительный документ о том, что лот публикуется на основании единственного источника.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Замечание выдается повторно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697D2B29" w16cex:dateUtc="2025-09-14T23:4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3" w16cid:durableId="697D2B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5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11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3"/>
      </w:rPr>
      <w:framePr w:wrap="around" w:vAnchor="text" w:hAnchor="margin" w:xAlign="center" w:y="1"/>
    </w:pPr>
    <w:r>
      <w:rPr>
        <w:rStyle w:val="913"/>
      </w:rPr>
      <w:fldChar w:fldCharType="begin"/>
    </w:r>
    <w:r>
      <w:rPr>
        <w:rStyle w:val="913"/>
      </w:rPr>
      <w:instrText xml:space="preserve">PAGE  </w:instrText>
    </w:r>
    <w:r>
      <w:rPr>
        <w:rStyle w:val="913"/>
      </w:rPr>
      <w:fldChar w:fldCharType="end"/>
    </w:r>
    <w:r>
      <w:rPr>
        <w:rStyle w:val="913"/>
      </w:rPr>
    </w:r>
    <w:r>
      <w:rPr>
        <w:rStyle w:val="913"/>
      </w:rPr>
    </w:r>
  </w:p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2"/>
  </w:num>
  <w:num w:numId="12">
    <w:abstractNumId w:val="5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епень Константин Маркович">
    <w15:presenceInfo w15:providerId="Teamlab" w15:userId="Степень Константин Марк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7"/>
    <w:next w:val="907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08"/>
    <w:link w:val="736"/>
    <w:uiPriority w:val="9"/>
    <w:rPr>
      <w:rFonts w:ascii="Arial" w:hAnsi="Arial" w:eastAsia="Arial" w:cs="Arial"/>
      <w:sz w:val="40"/>
      <w:szCs w:val="40"/>
    </w:rPr>
  </w:style>
  <w:style w:type="paragraph" w:styleId="738">
    <w:name w:val="Heading 2"/>
    <w:basedOn w:val="907"/>
    <w:next w:val="907"/>
    <w:link w:val="7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9">
    <w:name w:val="Heading 2 Char"/>
    <w:basedOn w:val="908"/>
    <w:link w:val="738"/>
    <w:uiPriority w:val="9"/>
    <w:rPr>
      <w:rFonts w:ascii="Arial" w:hAnsi="Arial" w:eastAsia="Arial" w:cs="Arial"/>
      <w:sz w:val="34"/>
    </w:rPr>
  </w:style>
  <w:style w:type="paragraph" w:styleId="740">
    <w:name w:val="Heading 3"/>
    <w:basedOn w:val="907"/>
    <w:next w:val="907"/>
    <w:link w:val="7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1">
    <w:name w:val="Heading 3 Char"/>
    <w:basedOn w:val="908"/>
    <w:link w:val="740"/>
    <w:uiPriority w:val="9"/>
    <w:rPr>
      <w:rFonts w:ascii="Arial" w:hAnsi="Arial" w:eastAsia="Arial" w:cs="Arial"/>
      <w:sz w:val="30"/>
      <w:szCs w:val="30"/>
    </w:rPr>
  </w:style>
  <w:style w:type="paragraph" w:styleId="742">
    <w:name w:val="Heading 4"/>
    <w:basedOn w:val="907"/>
    <w:next w:val="907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3">
    <w:name w:val="Heading 4 Char"/>
    <w:basedOn w:val="908"/>
    <w:link w:val="742"/>
    <w:uiPriority w:val="9"/>
    <w:rPr>
      <w:rFonts w:ascii="Arial" w:hAnsi="Arial" w:eastAsia="Arial" w:cs="Arial"/>
      <w:b/>
      <w:bCs/>
      <w:sz w:val="26"/>
      <w:szCs w:val="26"/>
    </w:rPr>
  </w:style>
  <w:style w:type="paragraph" w:styleId="744">
    <w:name w:val="Heading 5"/>
    <w:basedOn w:val="907"/>
    <w:next w:val="907"/>
    <w:link w:val="7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5">
    <w:name w:val="Heading 5 Char"/>
    <w:basedOn w:val="908"/>
    <w:link w:val="744"/>
    <w:uiPriority w:val="9"/>
    <w:rPr>
      <w:rFonts w:ascii="Arial" w:hAnsi="Arial" w:eastAsia="Arial" w:cs="Arial"/>
      <w:b/>
      <w:bCs/>
      <w:sz w:val="24"/>
      <w:szCs w:val="24"/>
    </w:rPr>
  </w:style>
  <w:style w:type="paragraph" w:styleId="746">
    <w:name w:val="Heading 6"/>
    <w:basedOn w:val="907"/>
    <w:next w:val="907"/>
    <w:link w:val="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7">
    <w:name w:val="Heading 6 Char"/>
    <w:basedOn w:val="908"/>
    <w:link w:val="746"/>
    <w:uiPriority w:val="9"/>
    <w:rPr>
      <w:rFonts w:ascii="Arial" w:hAnsi="Arial" w:eastAsia="Arial" w:cs="Arial"/>
      <w:b/>
      <w:bCs/>
      <w:sz w:val="22"/>
      <w:szCs w:val="22"/>
    </w:rPr>
  </w:style>
  <w:style w:type="paragraph" w:styleId="748">
    <w:name w:val="Heading 7"/>
    <w:basedOn w:val="907"/>
    <w:next w:val="907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9">
    <w:name w:val="Heading 7 Char"/>
    <w:basedOn w:val="908"/>
    <w:link w:val="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0">
    <w:name w:val="Heading 8"/>
    <w:basedOn w:val="907"/>
    <w:next w:val="907"/>
    <w:link w:val="7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1">
    <w:name w:val="Heading 8 Char"/>
    <w:basedOn w:val="908"/>
    <w:link w:val="750"/>
    <w:uiPriority w:val="9"/>
    <w:rPr>
      <w:rFonts w:ascii="Arial" w:hAnsi="Arial" w:eastAsia="Arial" w:cs="Arial"/>
      <w:i/>
      <w:iCs/>
      <w:sz w:val="22"/>
      <w:szCs w:val="22"/>
    </w:rPr>
  </w:style>
  <w:style w:type="paragraph" w:styleId="752">
    <w:name w:val="Heading 9"/>
    <w:basedOn w:val="907"/>
    <w:next w:val="907"/>
    <w:link w:val="7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3">
    <w:name w:val="Heading 9 Char"/>
    <w:basedOn w:val="908"/>
    <w:link w:val="752"/>
    <w:uiPriority w:val="9"/>
    <w:rPr>
      <w:rFonts w:ascii="Arial" w:hAnsi="Arial" w:eastAsia="Arial" w:cs="Arial"/>
      <w:i/>
      <w:iCs/>
      <w:sz w:val="21"/>
      <w:szCs w:val="21"/>
    </w:r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907"/>
    <w:next w:val="907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basedOn w:val="908"/>
    <w:link w:val="755"/>
    <w:uiPriority w:val="10"/>
    <w:rPr>
      <w:sz w:val="48"/>
      <w:szCs w:val="48"/>
    </w:rPr>
  </w:style>
  <w:style w:type="paragraph" w:styleId="757">
    <w:name w:val="Subtitle"/>
    <w:basedOn w:val="907"/>
    <w:next w:val="907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basedOn w:val="908"/>
    <w:link w:val="757"/>
    <w:uiPriority w:val="11"/>
    <w:rPr>
      <w:sz w:val="24"/>
      <w:szCs w:val="24"/>
    </w:rPr>
  </w:style>
  <w:style w:type="paragraph" w:styleId="759">
    <w:name w:val="Quote"/>
    <w:basedOn w:val="907"/>
    <w:next w:val="907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07"/>
    <w:next w:val="907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character" w:styleId="763">
    <w:name w:val="Header Char"/>
    <w:basedOn w:val="908"/>
    <w:link w:val="911"/>
    <w:uiPriority w:val="99"/>
  </w:style>
  <w:style w:type="character" w:styleId="764">
    <w:name w:val="Footer Char"/>
    <w:basedOn w:val="908"/>
    <w:link w:val="918"/>
    <w:uiPriority w:val="99"/>
  </w:style>
  <w:style w:type="paragraph" w:styleId="765">
    <w:name w:val="Caption"/>
    <w:basedOn w:val="907"/>
    <w:next w:val="907"/>
    <w:link w:val="7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basedOn w:val="765"/>
    <w:link w:val="918"/>
    <w:uiPriority w:val="99"/>
  </w:style>
  <w:style w:type="table" w:styleId="767">
    <w:name w:val="Table Grid Light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1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>
    <w:name w:val="Grid Table 4 - Accent 1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6">
    <w:name w:val="Grid Table 4 - Accent 2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Grid Table 4 - Accent 3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8">
    <w:name w:val="Grid Table 4 - Accent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Grid Table 4 - Accent 5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0">
    <w:name w:val="Grid Table 4 - Accent 6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1">
    <w:name w:val="Grid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8">
    <w:name w:val="Grid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9">
    <w:name w:val="Grid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0">
    <w:name w:val="Grid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1">
    <w:name w:val="Grid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2">
    <w:name w:val="Grid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3">
    <w:name w:val="Grid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0">
    <w:name w:val="List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1">
    <w:name w:val="List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2">
    <w:name w:val="List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3">
    <w:name w:val="List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4">
    <w:name w:val="List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5">
    <w:name w:val="List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8">
    <w:name w:val="List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9">
    <w:name w:val="List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List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1">
    <w:name w:val="List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List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3">
    <w:name w:val="List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4">
    <w:name w:val="List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5">
    <w:name w:val="List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6">
    <w:name w:val="List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7">
    <w:name w:val="List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8">
    <w:name w:val="List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9">
    <w:name w:val="List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0">
    <w:name w:val="List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1">
    <w:name w:val="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 &amp; 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Bordered &amp; 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0">
    <w:name w:val="Bordered &amp; 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1">
    <w:name w:val="Bordered &amp; 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2">
    <w:name w:val="Bordered &amp; 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3">
    <w:name w:val="Bordered &amp; 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4">
    <w:name w:val="Bordered &amp; 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5">
    <w:name w:val="Bordered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6">
    <w:name w:val="Bordered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7">
    <w:name w:val="Bordered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8">
    <w:name w:val="Bordered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9">
    <w:name w:val="Bordered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0">
    <w:name w:val="Bordered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1">
    <w:name w:val="Bordered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2">
    <w:name w:val="Footnote Text Char"/>
    <w:link w:val="920"/>
    <w:uiPriority w:val="99"/>
    <w:rPr>
      <w:sz w:val="18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basedOn w:val="908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08" w:default="1">
    <w:name w:val="Default Paragraph Font"/>
    <w:uiPriority w:val="1"/>
    <w:semiHidden/>
    <w:unhideWhenUsed/>
  </w:style>
  <w:style w:type="table" w:styleId="9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0" w:default="1">
    <w:name w:val="No List"/>
    <w:uiPriority w:val="99"/>
    <w:semiHidden/>
    <w:unhideWhenUsed/>
  </w:style>
  <w:style w:type="paragraph" w:styleId="911">
    <w:name w:val="Header"/>
    <w:basedOn w:val="907"/>
    <w:link w:val="912"/>
    <w:uiPriority w:val="99"/>
    <w:pPr>
      <w:tabs>
        <w:tab w:val="center" w:pos="4320" w:leader="none"/>
        <w:tab w:val="right" w:pos="8640" w:leader="none"/>
      </w:tabs>
    </w:pPr>
  </w:style>
  <w:style w:type="character" w:styleId="912" w:customStyle="1">
    <w:name w:val="Верхний колонтитул Знак"/>
    <w:link w:val="911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3">
    <w:name w:val="page number"/>
    <w:basedOn w:val="908"/>
  </w:style>
  <w:style w:type="paragraph" w:styleId="914">
    <w:name w:val="Balloon Text"/>
    <w:basedOn w:val="907"/>
    <w:link w:val="915"/>
    <w:uiPriority w:val="99"/>
    <w:semiHidden/>
    <w:unhideWhenUsed/>
    <w:rPr>
      <w:rFonts w:ascii="Lucida Grande" w:hAnsi="Lucida Grande"/>
      <w:sz w:val="18"/>
      <w:szCs w:val="18"/>
    </w:rPr>
  </w:style>
  <w:style w:type="character" w:styleId="915" w:customStyle="1">
    <w:name w:val="Текст выноски Знак"/>
    <w:link w:val="914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6">
    <w:name w:val="Hyperlink"/>
    <w:basedOn w:val="908"/>
    <w:uiPriority w:val="99"/>
    <w:unhideWhenUsed/>
    <w:rPr>
      <w:color w:val="0000ff" w:themeColor="hyperlink"/>
      <w:u w:val="single"/>
    </w:rPr>
  </w:style>
  <w:style w:type="paragraph" w:styleId="917">
    <w:name w:val="List Paragraph"/>
    <w:basedOn w:val="907"/>
    <w:uiPriority w:val="34"/>
    <w:qFormat/>
    <w:pPr>
      <w:contextualSpacing/>
      <w:ind w:left="720"/>
    </w:pPr>
  </w:style>
  <w:style w:type="paragraph" w:styleId="918">
    <w:name w:val="Footer"/>
    <w:basedOn w:val="907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 w:customStyle="1">
    <w:name w:val="Нижний колонтитул Знак"/>
    <w:basedOn w:val="908"/>
    <w:link w:val="918"/>
    <w:uiPriority w:val="99"/>
    <w:rPr>
      <w:rFonts w:ascii="Geneva CY" w:hAnsi="Geneva CY" w:eastAsia="Geneva"/>
      <w:sz w:val="24"/>
      <w:lang w:val="ru-RU" w:eastAsia="en-US"/>
    </w:rPr>
  </w:style>
  <w:style w:type="paragraph" w:styleId="920">
    <w:name w:val="footnote text"/>
    <w:basedOn w:val="907"/>
    <w:link w:val="921"/>
    <w:uiPriority w:val="99"/>
    <w:unhideWhenUsed/>
    <w:qFormat/>
    <w:rPr>
      <w:sz w:val="20"/>
    </w:rPr>
  </w:style>
  <w:style w:type="character" w:styleId="921" w:customStyle="1">
    <w:name w:val="Текст сноски Знак"/>
    <w:basedOn w:val="908"/>
    <w:link w:val="920"/>
    <w:uiPriority w:val="99"/>
    <w:rPr>
      <w:rFonts w:ascii="Geneva CY" w:hAnsi="Geneva CY" w:eastAsia="Geneva"/>
      <w:lang w:val="ru-RU" w:eastAsia="en-US"/>
    </w:rPr>
  </w:style>
  <w:style w:type="character" w:styleId="922">
    <w:name w:val="footnote reference"/>
    <w:basedOn w:val="908"/>
    <w:uiPriority w:val="99"/>
    <w:unhideWhenUsed/>
    <w:rPr>
      <w:vertAlign w:val="superscript"/>
    </w:rPr>
  </w:style>
  <w:style w:type="paragraph" w:styleId="923">
    <w:name w:val="Normal (Web)"/>
    <w:basedOn w:val="907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4" w:customStyle="1">
    <w:name w:val="Сетка таблицы1"/>
    <w:basedOn w:val="909"/>
    <w:next w:val="925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5">
    <w:name w:val="Table Grid"/>
    <w:basedOn w:val="90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6" w:customStyle="1">
    <w:name w:val="Сетка таблицы2"/>
    <w:basedOn w:val="909"/>
    <w:next w:val="925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omments" Target="comments.xml" /><Relationship Id="rId13" Type="http://schemas.microsoft.com/office/2011/relationships/commentsExtended" Target="commentsExtended.xml" /><Relationship Id="rId14" Type="http://schemas.microsoft.com/office/2018/08/relationships/commentsExtensible" Target="commentsExtensible.xml" /><Relationship Id="rId15" Type="http://schemas.microsoft.com/office/2016/09/relationships/commentsIds" Target="commentsIds.xml" /><Relationship Id="rId16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8A49-7424-49E7-8EBE-CB91F49F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lastModifiedBy>lukyanova_ts</cp:lastModifiedBy>
  <cp:revision>26</cp:revision>
  <dcterms:created xsi:type="dcterms:W3CDTF">2024-01-05T05:12:00Z</dcterms:created>
  <dcterms:modified xsi:type="dcterms:W3CDTF">2026-02-26T01:43:43Z</dcterms:modified>
</cp:coreProperties>
</file>